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EA5AC">
      <w:pPr>
        <w:keepNext w:val="0"/>
        <w:keepLines w:val="0"/>
        <w:pageBreakBefore w:val="0"/>
        <w:widowControl w:val="0"/>
        <w:kinsoku/>
        <w:wordWrap/>
        <w:overflowPunct w:val="0"/>
        <w:topLinePunct w:val="0"/>
        <w:autoSpaceDE/>
        <w:autoSpaceDN/>
        <w:bidi w:val="0"/>
        <w:adjustRightInd/>
        <w:snapToGrid/>
        <w:spacing w:beforeLines="0" w:afterLines="0" w:line="700" w:lineRule="exact"/>
        <w:jc w:val="center"/>
        <w:textAlignment w:val="auto"/>
        <w:rPr>
          <w:rFonts w:hint="default" w:ascii="宋体" w:hAnsi="宋体" w:eastAsia="方正小标宋_GBK" w:cs="Times New Roman"/>
          <w:color w:val="auto"/>
          <w:sz w:val="44"/>
          <w:szCs w:val="44"/>
          <w:lang w:val="en-US" w:eastAsia="zh-CN"/>
        </w:rPr>
      </w:pPr>
      <w:bookmarkStart w:id="0" w:name="_GoBack"/>
      <w:r>
        <w:rPr>
          <w:rFonts w:hint="default" w:ascii="宋体" w:hAnsi="宋体" w:eastAsia="方正小标宋_GBK" w:cs="Times New Roman"/>
          <w:color w:val="auto"/>
          <w:sz w:val="44"/>
          <w:szCs w:val="44"/>
          <w:lang w:val="en-US" w:eastAsia="zh-CN"/>
        </w:rPr>
        <w:t>云南省2025年第三批新能源项目</w:t>
      </w:r>
    </w:p>
    <w:p w14:paraId="7E1968A1">
      <w:pPr>
        <w:keepNext w:val="0"/>
        <w:keepLines w:val="0"/>
        <w:pageBreakBefore w:val="0"/>
        <w:widowControl w:val="0"/>
        <w:kinsoku/>
        <w:wordWrap/>
        <w:overflowPunct w:val="0"/>
        <w:topLinePunct w:val="0"/>
        <w:autoSpaceDE/>
        <w:autoSpaceDN/>
        <w:bidi w:val="0"/>
        <w:adjustRightInd/>
        <w:snapToGrid/>
        <w:spacing w:beforeLines="0" w:afterLines="0" w:line="700" w:lineRule="exact"/>
        <w:jc w:val="center"/>
        <w:textAlignment w:val="auto"/>
        <w:rPr>
          <w:rFonts w:hint="default" w:ascii="宋体" w:hAnsi="宋体" w:eastAsia="方正小标宋_GBK" w:cs="Times New Roman"/>
          <w:color w:val="auto"/>
          <w:sz w:val="44"/>
          <w:szCs w:val="44"/>
          <w:lang w:val="en-US" w:eastAsia="zh-CN"/>
        </w:rPr>
      </w:pPr>
      <w:r>
        <w:rPr>
          <w:rFonts w:hint="default" w:ascii="宋体" w:hAnsi="宋体" w:eastAsia="方正小标宋_GBK" w:cs="Times New Roman"/>
          <w:color w:val="auto"/>
          <w:sz w:val="44"/>
          <w:szCs w:val="44"/>
          <w:lang w:val="en-US" w:eastAsia="zh-CN"/>
        </w:rPr>
        <w:t>开发建设方案</w:t>
      </w:r>
    </w:p>
    <w:bookmarkEnd w:id="0"/>
    <w:p w14:paraId="503F1B2F">
      <w:pPr>
        <w:keepNext w:val="0"/>
        <w:keepLines w:val="0"/>
        <w:pageBreakBefore w:val="0"/>
        <w:widowControl w:val="0"/>
        <w:kinsoku/>
        <w:wordWrap/>
        <w:overflowPunct w:val="0"/>
        <w:topLinePunct w:val="0"/>
        <w:autoSpaceDE/>
        <w:autoSpaceDN/>
        <w:bidi w:val="0"/>
        <w:adjustRightInd/>
        <w:snapToGrid/>
        <w:spacing w:beforeLines="0" w:afterLines="0" w:line="400" w:lineRule="exact"/>
        <w:jc w:val="center"/>
        <w:textAlignment w:val="auto"/>
        <w:rPr>
          <w:rFonts w:hint="default" w:ascii="宋体" w:hAnsi="宋体" w:eastAsia="方正小标宋_GBK" w:cs="Times New Roman"/>
          <w:color w:val="auto"/>
          <w:sz w:val="44"/>
          <w:szCs w:val="44"/>
          <w:lang w:val="en-US" w:eastAsia="zh-CN"/>
        </w:rPr>
      </w:pPr>
    </w:p>
    <w:p w14:paraId="7E894B36">
      <w:pPr>
        <w:keepNext w:val="0"/>
        <w:keepLines w:val="0"/>
        <w:pageBreakBefore w:val="0"/>
        <w:widowControl w:val="0"/>
        <w:kinsoku/>
        <w:wordWrap/>
        <w:overflowPunct w:val="0"/>
        <w:topLinePunct w:val="0"/>
        <w:autoSpaceDE/>
        <w:autoSpaceDN/>
        <w:bidi w:val="0"/>
        <w:adjustRightInd/>
        <w:snapToGrid/>
        <w:spacing w:line="570" w:lineRule="exact"/>
        <w:ind w:firstLine="640" w:firstLineChars="200"/>
        <w:textAlignment w:val="auto"/>
        <w:rPr>
          <w:rFonts w:hint="eastAsia" w:ascii="宋体" w:hAnsi="宋体" w:eastAsia="方正仿宋_GBK" w:cs="方正仿宋_GBK"/>
          <w:color w:val="auto"/>
          <w:sz w:val="32"/>
          <w:szCs w:val="32"/>
          <w:highlight w:val="none"/>
        </w:rPr>
      </w:pPr>
      <w:r>
        <w:rPr>
          <w:rFonts w:hint="eastAsia" w:ascii="宋体" w:hAnsi="宋体" w:eastAsia="方正仿宋_GBK" w:cs="方正仿宋_GBK"/>
          <w:color w:val="auto"/>
          <w:sz w:val="32"/>
          <w:szCs w:val="32"/>
          <w:highlight w:val="none"/>
          <w:lang w:eastAsia="zh-CN"/>
        </w:rPr>
        <w:t>为深入贯彻落实习近平总书记关于大力推动我国新能源高质量发展的重要讲话精神，全面落实党的二十届四中全会关于坚持高质量发展、加快经济社会发展全面绿色转型、建设新型能源体系的决策部署，扎实推进省委“3815”战略发展目标实施，持续打造绿色能源强省，夯实“十五五”发展基础，根据《云南省人民政府印发关于加快光伏发电发展若干政策措施的通知》</w:t>
      </w:r>
      <w:r>
        <w:rPr>
          <w:rFonts w:hint="eastAsia" w:ascii="宋体" w:hAnsi="宋体" w:eastAsia="方正仿宋_GBK" w:cs="方正仿宋_GBK"/>
          <w:color w:val="auto"/>
          <w:sz w:val="32"/>
          <w:szCs w:val="32"/>
          <w:highlight w:val="none"/>
        </w:rPr>
        <w:t>（云</w:t>
      </w:r>
      <w:r>
        <w:rPr>
          <w:rFonts w:hint="eastAsia" w:ascii="宋体" w:hAnsi="宋体" w:eastAsia="方正仿宋_GBK" w:cs="方正仿宋_GBK"/>
          <w:color w:val="auto"/>
          <w:sz w:val="32"/>
          <w:szCs w:val="32"/>
          <w:highlight w:val="none"/>
          <w:lang w:eastAsia="zh-CN"/>
        </w:rPr>
        <w:t>政发</w:t>
      </w:r>
      <w:r>
        <w:rPr>
          <w:rFonts w:hint="eastAsia" w:ascii="宋体" w:hAnsi="宋体" w:eastAsia="方正仿宋_GBK" w:cs="方正仿宋_GBK"/>
          <w:color w:val="auto"/>
          <w:sz w:val="32"/>
          <w:szCs w:val="32"/>
          <w:highlight w:val="none"/>
        </w:rPr>
        <w:t>〔202</w:t>
      </w:r>
      <w:r>
        <w:rPr>
          <w:rFonts w:hint="eastAsia" w:ascii="宋体" w:hAnsi="宋体" w:eastAsia="方正仿宋_GBK" w:cs="方正仿宋_GBK"/>
          <w:color w:val="auto"/>
          <w:sz w:val="32"/>
          <w:szCs w:val="32"/>
          <w:highlight w:val="none"/>
          <w:lang w:val="en-US" w:eastAsia="zh-CN"/>
        </w:rPr>
        <w:t>2</w:t>
      </w:r>
      <w:r>
        <w:rPr>
          <w:rFonts w:hint="eastAsia" w:ascii="宋体" w:hAnsi="宋体" w:eastAsia="方正仿宋_GBK" w:cs="方正仿宋_GBK"/>
          <w:color w:val="auto"/>
          <w:sz w:val="32"/>
          <w:szCs w:val="32"/>
          <w:highlight w:val="none"/>
        </w:rPr>
        <w:t>〕</w:t>
      </w:r>
      <w:r>
        <w:rPr>
          <w:rFonts w:hint="eastAsia" w:ascii="宋体" w:hAnsi="宋体" w:eastAsia="方正仿宋_GBK" w:cs="方正仿宋_GBK"/>
          <w:color w:val="auto"/>
          <w:sz w:val="32"/>
          <w:szCs w:val="32"/>
          <w:highlight w:val="none"/>
          <w:lang w:val="en-US" w:eastAsia="zh-CN"/>
        </w:rPr>
        <w:t>16</w:t>
      </w:r>
      <w:r>
        <w:rPr>
          <w:rFonts w:hint="eastAsia" w:ascii="宋体" w:hAnsi="宋体" w:eastAsia="方正仿宋_GBK" w:cs="方正仿宋_GBK"/>
          <w:color w:val="auto"/>
          <w:sz w:val="32"/>
          <w:szCs w:val="32"/>
          <w:highlight w:val="none"/>
        </w:rPr>
        <w:t>号）</w:t>
      </w:r>
      <w:r>
        <w:rPr>
          <w:rFonts w:hint="eastAsia" w:ascii="宋体" w:hAnsi="宋体" w:eastAsia="方正仿宋_GBK" w:cs="方正仿宋_GBK"/>
          <w:b w:val="0"/>
          <w:bCs w:val="0"/>
          <w:color w:val="auto"/>
          <w:sz w:val="32"/>
          <w:szCs w:val="32"/>
          <w:highlight w:val="none"/>
          <w:lang w:val="en-US" w:eastAsia="zh-CN"/>
        </w:rPr>
        <w:t>等相关要求，</w:t>
      </w:r>
      <w:r>
        <w:rPr>
          <w:rFonts w:hint="eastAsia" w:ascii="宋体" w:hAnsi="宋体" w:eastAsia="方正仿宋_GBK" w:cs="方正仿宋_GBK"/>
          <w:color w:val="auto"/>
          <w:sz w:val="32"/>
          <w:szCs w:val="32"/>
          <w:highlight w:val="none"/>
        </w:rPr>
        <w:t>特制定本方案。</w:t>
      </w:r>
    </w:p>
    <w:p w14:paraId="4B6B656A">
      <w:pPr>
        <w:keepNext w:val="0"/>
        <w:keepLines w:val="0"/>
        <w:pageBreakBefore w:val="0"/>
        <w:widowControl w:val="0"/>
        <w:kinsoku/>
        <w:wordWrap/>
        <w:overflowPunct w:val="0"/>
        <w:topLinePunct w:val="0"/>
        <w:autoSpaceDE/>
        <w:autoSpaceDN/>
        <w:bidi w:val="0"/>
        <w:adjustRightInd/>
        <w:snapToGrid/>
        <w:spacing w:line="570" w:lineRule="exact"/>
        <w:ind w:firstLine="640" w:firstLineChars="200"/>
        <w:textAlignment w:val="auto"/>
        <w:rPr>
          <w:rFonts w:hint="eastAsia" w:ascii="宋体" w:hAnsi="宋体" w:eastAsia="方正黑体_GBK" w:cs="方正黑体_GBK"/>
          <w:bCs w:val="0"/>
          <w:color w:val="auto"/>
          <w:sz w:val="32"/>
          <w:szCs w:val="32"/>
          <w:lang w:val="en-US" w:eastAsia="zh-CN"/>
        </w:rPr>
      </w:pPr>
      <w:r>
        <w:rPr>
          <w:rFonts w:hint="eastAsia" w:ascii="宋体" w:hAnsi="宋体" w:eastAsia="方正黑体_GBK" w:cs="方正黑体_GBK"/>
          <w:bCs w:val="0"/>
          <w:color w:val="auto"/>
          <w:sz w:val="32"/>
          <w:szCs w:val="32"/>
        </w:rPr>
        <w:t>一、</w:t>
      </w:r>
      <w:r>
        <w:rPr>
          <w:rFonts w:hint="eastAsia" w:ascii="宋体" w:hAnsi="宋体" w:eastAsia="方正黑体_GBK" w:cs="方正黑体_GBK"/>
          <w:bCs w:val="0"/>
          <w:color w:val="auto"/>
          <w:sz w:val="32"/>
          <w:szCs w:val="32"/>
          <w:lang w:val="en-US" w:eastAsia="zh-CN"/>
        </w:rPr>
        <w:t>工作目标</w:t>
      </w:r>
    </w:p>
    <w:p w14:paraId="016C902C">
      <w:pPr>
        <w:keepNext w:val="0"/>
        <w:keepLines w:val="0"/>
        <w:pageBreakBefore w:val="0"/>
        <w:widowControl w:val="0"/>
        <w:kinsoku/>
        <w:wordWrap/>
        <w:overflowPunct w:val="0"/>
        <w:topLinePunct w:val="0"/>
        <w:autoSpaceDE/>
        <w:autoSpaceDN/>
        <w:bidi w:val="0"/>
        <w:adjustRightInd/>
        <w:snapToGrid/>
        <w:spacing w:line="570" w:lineRule="exact"/>
        <w:ind w:firstLine="640" w:firstLineChars="200"/>
        <w:textAlignment w:val="auto"/>
        <w:rPr>
          <w:rFonts w:hint="eastAsia" w:ascii="宋体" w:hAnsi="宋体" w:eastAsia="方正仿宋_GBK" w:cs="方正仿宋_GBK"/>
          <w:color w:val="auto"/>
          <w:sz w:val="32"/>
          <w:szCs w:val="32"/>
        </w:rPr>
      </w:pPr>
      <w:r>
        <w:rPr>
          <w:rFonts w:hint="eastAsia" w:ascii="宋体" w:hAnsi="宋体" w:eastAsia="方正仿宋_GBK" w:cs="方正仿宋_GBK"/>
          <w:color w:val="auto"/>
          <w:sz w:val="32"/>
          <w:szCs w:val="32"/>
        </w:rPr>
        <w:t>纳入云南省</w:t>
      </w:r>
      <w:r>
        <w:rPr>
          <w:rFonts w:hint="eastAsia" w:ascii="宋体" w:hAnsi="宋体" w:eastAsia="方正仿宋_GBK" w:cs="方正仿宋_GBK"/>
          <w:color w:val="auto"/>
          <w:sz w:val="32"/>
          <w:szCs w:val="32"/>
          <w:lang w:val="en-US" w:eastAsia="zh-CN"/>
        </w:rPr>
        <w:t>2025</w:t>
      </w:r>
      <w:r>
        <w:rPr>
          <w:rFonts w:hint="eastAsia" w:ascii="宋体" w:hAnsi="宋体" w:eastAsia="方正仿宋_GBK" w:cs="方正仿宋_GBK"/>
          <w:color w:val="auto"/>
          <w:sz w:val="32"/>
          <w:szCs w:val="32"/>
        </w:rPr>
        <w:t>年第</w:t>
      </w:r>
      <w:r>
        <w:rPr>
          <w:rFonts w:hint="eastAsia" w:ascii="宋体" w:hAnsi="宋体" w:eastAsia="方正仿宋_GBK" w:cs="方正仿宋_GBK"/>
          <w:color w:val="auto"/>
          <w:sz w:val="32"/>
          <w:szCs w:val="32"/>
          <w:lang w:val="en-US" w:eastAsia="zh-CN"/>
        </w:rPr>
        <w:t>三</w:t>
      </w:r>
      <w:r>
        <w:rPr>
          <w:rFonts w:hint="eastAsia" w:ascii="宋体" w:hAnsi="宋体" w:eastAsia="方正仿宋_GBK" w:cs="方正仿宋_GBK"/>
          <w:color w:val="auto"/>
          <w:sz w:val="32"/>
          <w:szCs w:val="32"/>
        </w:rPr>
        <w:t>批新能源项目开发建设方案实施的项目共</w:t>
      </w:r>
      <w:r>
        <w:rPr>
          <w:rFonts w:hint="eastAsia" w:ascii="宋体" w:hAnsi="宋体" w:eastAsia="方正仿宋_GBK" w:cs="方正仿宋_GBK"/>
          <w:color w:val="auto"/>
          <w:sz w:val="32"/>
          <w:szCs w:val="32"/>
          <w:lang w:val="en-US" w:eastAsia="zh-CN"/>
        </w:rPr>
        <w:t>221</w:t>
      </w:r>
      <w:r>
        <w:rPr>
          <w:rFonts w:hint="eastAsia" w:ascii="宋体" w:hAnsi="宋体" w:eastAsia="方正仿宋_GBK" w:cs="方正仿宋_GBK"/>
          <w:color w:val="auto"/>
          <w:sz w:val="32"/>
          <w:szCs w:val="32"/>
        </w:rPr>
        <w:t>个</w:t>
      </w:r>
      <w:r>
        <w:rPr>
          <w:rFonts w:hint="eastAsia" w:ascii="宋体" w:hAnsi="宋体" w:eastAsia="方正仿宋_GBK" w:cs="方正仿宋_GBK"/>
          <w:color w:val="auto"/>
          <w:sz w:val="32"/>
          <w:szCs w:val="32"/>
          <w:lang w:eastAsia="zh-CN"/>
        </w:rPr>
        <w:t>，</w:t>
      </w:r>
      <w:r>
        <w:rPr>
          <w:rFonts w:hint="eastAsia" w:ascii="宋体" w:hAnsi="宋体" w:eastAsia="方正仿宋_GBK" w:cs="方正仿宋_GBK"/>
          <w:color w:val="auto"/>
          <w:sz w:val="32"/>
          <w:szCs w:val="32"/>
        </w:rPr>
        <w:t>装机</w:t>
      </w:r>
      <w:r>
        <w:rPr>
          <w:rFonts w:hint="eastAsia" w:ascii="宋体" w:hAnsi="宋体" w:eastAsia="方正仿宋_GBK" w:cs="方正仿宋_GBK"/>
          <w:b w:val="0"/>
          <w:bCs w:val="0"/>
          <w:color w:val="auto"/>
          <w:sz w:val="32"/>
          <w:szCs w:val="32"/>
          <w:highlight w:val="none"/>
          <w:lang w:val="en-US" w:eastAsia="zh-CN"/>
        </w:rPr>
        <w:t>1407.633</w:t>
      </w:r>
      <w:r>
        <w:rPr>
          <w:rFonts w:hint="eastAsia" w:ascii="宋体" w:hAnsi="宋体" w:eastAsia="方正仿宋_GBK" w:cs="方正仿宋_GBK"/>
          <w:color w:val="auto"/>
          <w:sz w:val="32"/>
          <w:szCs w:val="32"/>
        </w:rPr>
        <w:t>万千瓦</w:t>
      </w:r>
      <w:r>
        <w:rPr>
          <w:rFonts w:hint="eastAsia" w:ascii="宋体" w:hAnsi="宋体" w:eastAsia="方正仿宋_GBK" w:cs="方正仿宋_GBK"/>
          <w:color w:val="auto"/>
          <w:sz w:val="32"/>
          <w:szCs w:val="32"/>
          <w:lang w:eastAsia="zh-CN"/>
        </w:rPr>
        <w:t>。</w:t>
      </w:r>
      <w:r>
        <w:rPr>
          <w:rFonts w:hint="eastAsia" w:ascii="宋体" w:hAnsi="宋体" w:eastAsia="方正仿宋_GBK" w:cs="方正仿宋_GBK"/>
          <w:color w:val="auto"/>
          <w:sz w:val="32"/>
          <w:szCs w:val="32"/>
          <w:lang w:val="en-US" w:eastAsia="zh-CN"/>
        </w:rPr>
        <w:t>其中，光伏项目104个，装机</w:t>
      </w:r>
      <w:r>
        <w:rPr>
          <w:rFonts w:hint="eastAsia" w:ascii="宋体" w:hAnsi="宋体" w:eastAsia="方正仿宋_GBK" w:cs="方正仿宋_GBK"/>
          <w:b w:val="0"/>
          <w:bCs w:val="0"/>
          <w:sz w:val="32"/>
          <w:szCs w:val="32"/>
          <w:highlight w:val="none"/>
          <w:lang w:val="en-US" w:eastAsia="zh-CN"/>
        </w:rPr>
        <w:t>774.079</w:t>
      </w:r>
      <w:r>
        <w:rPr>
          <w:rFonts w:hint="eastAsia" w:ascii="宋体" w:hAnsi="宋体" w:eastAsia="方正仿宋_GBK" w:cs="方正仿宋_GBK"/>
          <w:color w:val="auto"/>
          <w:sz w:val="32"/>
          <w:szCs w:val="32"/>
          <w:lang w:val="en-US" w:eastAsia="zh-CN"/>
        </w:rPr>
        <w:t>万千瓦，风电项目117个，装机</w:t>
      </w:r>
      <w:r>
        <w:rPr>
          <w:rFonts w:hint="eastAsia" w:ascii="宋体" w:hAnsi="宋体" w:eastAsia="方正仿宋_GBK" w:cs="方正仿宋_GBK"/>
          <w:b w:val="0"/>
          <w:bCs w:val="0"/>
          <w:sz w:val="32"/>
          <w:szCs w:val="32"/>
          <w:highlight w:val="none"/>
          <w:lang w:val="en-US" w:eastAsia="zh-CN"/>
        </w:rPr>
        <w:t>633.554</w:t>
      </w:r>
      <w:r>
        <w:rPr>
          <w:rFonts w:hint="eastAsia" w:ascii="宋体" w:hAnsi="宋体" w:eastAsia="方正仿宋_GBK" w:cs="方正仿宋_GBK"/>
          <w:color w:val="auto"/>
          <w:sz w:val="32"/>
          <w:szCs w:val="32"/>
          <w:lang w:val="en-US" w:eastAsia="zh-CN"/>
        </w:rPr>
        <w:t xml:space="preserve"> 万千瓦</w:t>
      </w:r>
      <w:r>
        <w:rPr>
          <w:rFonts w:hint="eastAsia" w:ascii="宋体" w:hAnsi="宋体" w:eastAsia="方正仿宋_GBK" w:cs="方正仿宋_GBK"/>
          <w:color w:val="auto"/>
          <w:sz w:val="32"/>
          <w:szCs w:val="32"/>
        </w:rPr>
        <w:t>（详见附件）。</w:t>
      </w:r>
    </w:p>
    <w:p w14:paraId="1F9B3AF6">
      <w:pPr>
        <w:keepNext w:val="0"/>
        <w:keepLines w:val="0"/>
        <w:pageBreakBefore w:val="0"/>
        <w:widowControl w:val="0"/>
        <w:kinsoku/>
        <w:wordWrap/>
        <w:overflowPunct w:val="0"/>
        <w:topLinePunct w:val="0"/>
        <w:autoSpaceDE/>
        <w:autoSpaceDN/>
        <w:bidi w:val="0"/>
        <w:adjustRightInd/>
        <w:snapToGrid/>
        <w:spacing w:line="570" w:lineRule="exact"/>
        <w:ind w:firstLine="640" w:firstLineChars="200"/>
        <w:textAlignment w:val="auto"/>
        <w:rPr>
          <w:rFonts w:hint="eastAsia" w:ascii="宋体" w:hAnsi="宋体" w:eastAsia="方正黑体_GBK" w:cs="方正黑体_GBK"/>
          <w:bCs w:val="0"/>
          <w:color w:val="auto"/>
          <w:sz w:val="32"/>
          <w:szCs w:val="32"/>
        </w:rPr>
      </w:pPr>
      <w:r>
        <w:rPr>
          <w:rFonts w:hint="eastAsia" w:ascii="宋体" w:hAnsi="宋体" w:eastAsia="方正黑体_GBK" w:cs="方正黑体_GBK"/>
          <w:bCs w:val="0"/>
          <w:color w:val="auto"/>
          <w:sz w:val="32"/>
          <w:szCs w:val="32"/>
        </w:rPr>
        <w:t>二、工作要求</w:t>
      </w:r>
    </w:p>
    <w:p w14:paraId="3500CC7C">
      <w:pPr>
        <w:keepNext w:val="0"/>
        <w:keepLines w:val="0"/>
        <w:pageBreakBefore w:val="0"/>
        <w:widowControl w:val="0"/>
        <w:kinsoku/>
        <w:wordWrap/>
        <w:overflowPunct w:val="0"/>
        <w:topLinePunct w:val="0"/>
        <w:autoSpaceDE/>
        <w:autoSpaceDN/>
        <w:bidi w:val="0"/>
        <w:adjustRightInd/>
        <w:snapToGrid/>
        <w:spacing w:line="570" w:lineRule="exact"/>
        <w:ind w:firstLine="640" w:firstLineChars="200"/>
        <w:textAlignment w:val="auto"/>
        <w:rPr>
          <w:rFonts w:hint="eastAsia" w:ascii="宋体" w:hAnsi="宋体" w:eastAsia="方正仿宋_GBK" w:cs="方正仿宋_GBK"/>
          <w:b w:val="0"/>
          <w:bCs w:val="0"/>
          <w:color w:val="auto"/>
          <w:sz w:val="32"/>
          <w:szCs w:val="32"/>
          <w:u w:val="none"/>
          <w:lang w:val="en-US" w:eastAsia="zh-CN"/>
        </w:rPr>
      </w:pPr>
      <w:r>
        <w:rPr>
          <w:rFonts w:hint="eastAsia" w:ascii="宋体" w:hAnsi="宋体" w:eastAsia="方正楷体_GBK" w:cs="方正楷体_GBK"/>
          <w:b w:val="0"/>
          <w:bCs w:val="0"/>
          <w:color w:val="auto"/>
          <w:sz w:val="32"/>
          <w:szCs w:val="32"/>
        </w:rPr>
        <w:t>（一）</w:t>
      </w:r>
      <w:r>
        <w:rPr>
          <w:rFonts w:hint="eastAsia" w:ascii="宋体" w:hAnsi="宋体" w:eastAsia="方正楷体_GBK" w:cs="方正楷体_GBK"/>
          <w:b w:val="0"/>
          <w:bCs w:val="0"/>
          <w:color w:val="auto"/>
          <w:sz w:val="32"/>
          <w:szCs w:val="32"/>
          <w:lang w:val="en-US" w:eastAsia="zh-CN"/>
        </w:rPr>
        <w:t>规范程序加快推进。</w:t>
      </w:r>
      <w:r>
        <w:rPr>
          <w:rFonts w:hint="eastAsia" w:ascii="宋体" w:hAnsi="宋体" w:eastAsia="方正仿宋_GBK" w:cs="方正仿宋_GBK"/>
          <w:b w:val="0"/>
          <w:bCs w:val="0"/>
          <w:color w:val="auto"/>
          <w:sz w:val="32"/>
          <w:szCs w:val="32"/>
          <w:lang w:val="en-US" w:eastAsia="zh-CN"/>
        </w:rPr>
        <w:t>有关州（市）和部门应严格执行</w:t>
      </w:r>
      <w:r>
        <w:rPr>
          <w:rFonts w:hint="eastAsia" w:ascii="宋体" w:hAnsi="宋体" w:eastAsia="方正仿宋_GBK" w:cs="方正仿宋_GBK"/>
          <w:color w:val="auto"/>
          <w:sz w:val="32"/>
          <w:szCs w:val="32"/>
        </w:rPr>
        <w:t>《云南省发展和改革委员会 云南省能源局关于进一步规范开发行为加快光伏发电发展的通知》（云发改能源〔2023〕264号）及《云南省发展和改革委员会关于加强光伏资源开发建设有关工作的通知》（云发改能源〔2023〕785号）等</w:t>
      </w:r>
      <w:r>
        <w:rPr>
          <w:rFonts w:hint="eastAsia" w:ascii="宋体" w:hAnsi="宋体" w:eastAsia="方正仿宋_GBK" w:cs="方正仿宋_GBK"/>
          <w:color w:val="auto"/>
          <w:sz w:val="32"/>
          <w:szCs w:val="32"/>
          <w:lang w:eastAsia="zh-CN"/>
        </w:rPr>
        <w:t>文件精神</w:t>
      </w:r>
      <w:r>
        <w:rPr>
          <w:rFonts w:hint="eastAsia" w:ascii="宋体" w:hAnsi="宋体" w:eastAsia="方正仿宋_GBK" w:cs="方正仿宋_GBK"/>
          <w:b w:val="0"/>
          <w:bCs w:val="0"/>
          <w:color w:val="auto"/>
          <w:sz w:val="32"/>
          <w:szCs w:val="32"/>
          <w:lang w:val="en-US" w:eastAsia="zh-CN"/>
        </w:rPr>
        <w:t>，规范资源配置，加强要素保障，提高审批效率，强化调度监测，推动项目加快建设、按期投产。光伏项目2026年6月底前全面开工建设；风电项目2026年7月底前具备核准条件，2026年10月底前全面开工建设。开发方案审核未通过的项目，可再报送一次，开工和投产时间顺延3个月。同时，按照国家标准规定具备相应调节能力。</w:t>
      </w:r>
    </w:p>
    <w:p w14:paraId="7B437497">
      <w:pPr>
        <w:keepNext w:val="0"/>
        <w:keepLines w:val="0"/>
        <w:pageBreakBefore w:val="0"/>
        <w:widowControl w:val="0"/>
        <w:kinsoku/>
        <w:wordWrap/>
        <w:overflowPunct w:val="0"/>
        <w:topLinePunct w:val="0"/>
        <w:autoSpaceDE/>
        <w:autoSpaceDN/>
        <w:bidi w:val="0"/>
        <w:adjustRightInd/>
        <w:snapToGrid/>
        <w:spacing w:line="570" w:lineRule="exact"/>
        <w:ind w:firstLine="640" w:firstLineChars="200"/>
        <w:textAlignment w:val="auto"/>
        <w:rPr>
          <w:rFonts w:hint="eastAsia" w:ascii="宋体" w:hAnsi="宋体" w:eastAsia="方正仿宋_GBK" w:cs="方正仿宋_GBK"/>
          <w:b w:val="0"/>
          <w:bCs w:val="0"/>
          <w:color w:val="auto"/>
          <w:sz w:val="32"/>
          <w:szCs w:val="32"/>
          <w:lang w:eastAsia="zh-CN"/>
        </w:rPr>
      </w:pPr>
      <w:r>
        <w:rPr>
          <w:rFonts w:hint="eastAsia" w:ascii="宋体" w:hAnsi="宋体" w:eastAsia="方正楷体_GBK" w:cs="方正楷体_GBK"/>
          <w:b w:val="0"/>
          <w:bCs w:val="0"/>
          <w:color w:val="auto"/>
          <w:sz w:val="32"/>
          <w:szCs w:val="32"/>
        </w:rPr>
        <w:t>（</w:t>
      </w:r>
      <w:r>
        <w:rPr>
          <w:rFonts w:hint="eastAsia" w:ascii="宋体" w:hAnsi="宋体" w:eastAsia="方正楷体_GBK" w:cs="方正楷体_GBK"/>
          <w:b w:val="0"/>
          <w:bCs w:val="0"/>
          <w:color w:val="auto"/>
          <w:sz w:val="32"/>
          <w:szCs w:val="32"/>
          <w:lang w:val="en-US" w:eastAsia="zh-CN"/>
        </w:rPr>
        <w:t>二</w:t>
      </w:r>
      <w:r>
        <w:rPr>
          <w:rFonts w:hint="eastAsia" w:ascii="宋体" w:hAnsi="宋体" w:eastAsia="方正楷体_GBK" w:cs="方正楷体_GBK"/>
          <w:b w:val="0"/>
          <w:bCs w:val="0"/>
          <w:color w:val="auto"/>
          <w:sz w:val="32"/>
          <w:szCs w:val="32"/>
        </w:rPr>
        <w:t>）</w:t>
      </w:r>
      <w:r>
        <w:rPr>
          <w:rFonts w:hint="eastAsia" w:ascii="宋体" w:hAnsi="宋体" w:eastAsia="方正楷体_GBK" w:cs="方正楷体_GBK"/>
          <w:b w:val="0"/>
          <w:bCs w:val="0"/>
          <w:color w:val="auto"/>
          <w:sz w:val="32"/>
          <w:szCs w:val="32"/>
          <w:lang w:eastAsia="zh-CN"/>
        </w:rPr>
        <w:t>推进</w:t>
      </w:r>
      <w:r>
        <w:rPr>
          <w:rFonts w:hint="eastAsia" w:ascii="宋体" w:hAnsi="宋体" w:eastAsia="方正楷体_GBK" w:cs="方正楷体_GBK"/>
          <w:b w:val="0"/>
          <w:bCs w:val="0"/>
          <w:color w:val="auto"/>
          <w:sz w:val="32"/>
          <w:szCs w:val="32"/>
          <w:lang w:val="en-US" w:eastAsia="zh-CN"/>
        </w:rPr>
        <w:t>新能源集成融合</w:t>
      </w:r>
      <w:r>
        <w:rPr>
          <w:rFonts w:hint="eastAsia" w:ascii="宋体" w:hAnsi="宋体" w:eastAsia="方正楷体_GBK" w:cs="方正楷体_GBK"/>
          <w:b w:val="0"/>
          <w:bCs w:val="0"/>
          <w:color w:val="auto"/>
          <w:sz w:val="32"/>
          <w:szCs w:val="32"/>
          <w:lang w:eastAsia="zh-CN"/>
        </w:rPr>
        <w:t>发展。</w:t>
      </w:r>
      <w:r>
        <w:rPr>
          <w:rFonts w:hint="eastAsia" w:ascii="宋体" w:hAnsi="宋体" w:eastAsia="方正仿宋_GBK" w:cs="方正仿宋_GBK"/>
          <w:b w:val="0"/>
          <w:bCs w:val="0"/>
          <w:color w:val="auto"/>
          <w:sz w:val="32"/>
          <w:szCs w:val="32"/>
          <w:lang w:eastAsia="zh-CN"/>
        </w:rPr>
        <w:t>附件清单内不具备消纳条件的新能源项目的开工须与全省增量产能（含延链补链项目）项目开工、投产时限挂钩，州（市）报送项目开发方案时，应附新增产业负荷的支撑材料，包括不仅限于投资协议、产业备案证、开工和投产时间承诺等。</w:t>
      </w:r>
    </w:p>
    <w:p w14:paraId="34E35622">
      <w:pPr>
        <w:keepNext w:val="0"/>
        <w:keepLines w:val="0"/>
        <w:pageBreakBefore w:val="0"/>
        <w:widowControl w:val="0"/>
        <w:kinsoku/>
        <w:wordWrap/>
        <w:overflowPunct w:val="0"/>
        <w:topLinePunct w:val="0"/>
        <w:autoSpaceDE/>
        <w:autoSpaceDN/>
        <w:bidi w:val="0"/>
        <w:adjustRightInd/>
        <w:snapToGrid/>
        <w:spacing w:line="570" w:lineRule="exact"/>
        <w:ind w:firstLine="640" w:firstLineChars="200"/>
        <w:textAlignment w:val="auto"/>
        <w:rPr>
          <w:rFonts w:hint="eastAsia" w:ascii="宋体" w:hAnsi="宋体" w:eastAsia="方正仿宋_GBK" w:cs="方正仿宋_GBK"/>
          <w:color w:val="auto"/>
          <w:sz w:val="32"/>
          <w:szCs w:val="32"/>
        </w:rPr>
      </w:pPr>
      <w:r>
        <w:rPr>
          <w:rFonts w:hint="eastAsia" w:ascii="宋体" w:hAnsi="宋体" w:eastAsia="方正楷体_GBK" w:cs="方正楷体_GBK"/>
          <w:b w:val="0"/>
          <w:bCs w:val="0"/>
          <w:color w:val="auto"/>
          <w:sz w:val="32"/>
          <w:szCs w:val="32"/>
          <w:lang w:eastAsia="zh-CN"/>
        </w:rPr>
        <w:t>（三）</w:t>
      </w:r>
      <w:r>
        <w:rPr>
          <w:rFonts w:hint="eastAsia" w:ascii="宋体" w:hAnsi="宋体" w:eastAsia="方正楷体_GBK" w:cs="方正楷体_GBK"/>
          <w:b w:val="0"/>
          <w:bCs w:val="0"/>
          <w:color w:val="auto"/>
          <w:sz w:val="32"/>
          <w:szCs w:val="32"/>
        </w:rPr>
        <w:t>强化日常</w:t>
      </w:r>
      <w:r>
        <w:rPr>
          <w:rFonts w:hint="eastAsia" w:ascii="宋体" w:hAnsi="宋体" w:eastAsia="方正楷体_GBK" w:cs="方正楷体_GBK"/>
          <w:b w:val="0"/>
          <w:bCs w:val="0"/>
          <w:color w:val="auto"/>
          <w:sz w:val="32"/>
          <w:szCs w:val="32"/>
          <w:lang w:val="en-US" w:eastAsia="zh-CN"/>
        </w:rPr>
        <w:t>调度</w:t>
      </w:r>
      <w:r>
        <w:rPr>
          <w:rFonts w:hint="eastAsia" w:ascii="宋体" w:hAnsi="宋体" w:eastAsia="方正楷体_GBK" w:cs="方正楷体_GBK"/>
          <w:b w:val="0"/>
          <w:bCs w:val="0"/>
          <w:color w:val="auto"/>
          <w:sz w:val="32"/>
          <w:szCs w:val="32"/>
        </w:rPr>
        <w:t>监管</w:t>
      </w:r>
      <w:r>
        <w:rPr>
          <w:rFonts w:hint="eastAsia" w:ascii="宋体" w:hAnsi="宋体" w:eastAsia="方正楷体_GBK" w:cs="方正楷体_GBK"/>
          <w:color w:val="auto"/>
          <w:sz w:val="32"/>
          <w:szCs w:val="32"/>
        </w:rPr>
        <w:t>。</w:t>
      </w:r>
      <w:r>
        <w:rPr>
          <w:rFonts w:hint="eastAsia" w:ascii="宋体" w:hAnsi="宋体" w:eastAsia="方正仿宋_GBK" w:cs="方正仿宋_GBK"/>
          <w:color w:val="auto"/>
          <w:sz w:val="32"/>
          <w:szCs w:val="32"/>
          <w:lang w:eastAsia="zh-CN"/>
        </w:rPr>
        <w:t>有关</w:t>
      </w:r>
      <w:r>
        <w:rPr>
          <w:rFonts w:hint="eastAsia" w:ascii="宋体" w:hAnsi="宋体" w:eastAsia="方正仿宋_GBK" w:cs="方正仿宋_GBK"/>
          <w:color w:val="auto"/>
          <w:sz w:val="32"/>
          <w:szCs w:val="32"/>
        </w:rPr>
        <w:t>州（市）能源主管部门落实项目属地监管责任，建立项目“日监测、周调度、月通报”机制，重点调度项目前期手续办理、工程建设进度、投资完成、接网工程进展</w:t>
      </w:r>
      <w:r>
        <w:rPr>
          <w:rFonts w:hint="eastAsia" w:ascii="宋体" w:hAnsi="宋体" w:eastAsia="方正仿宋_GBK" w:cs="方正仿宋_GBK"/>
          <w:color w:val="auto"/>
          <w:sz w:val="32"/>
          <w:szCs w:val="32"/>
          <w:lang w:eastAsia="zh-CN"/>
        </w:rPr>
        <w:t>、支持方向落实</w:t>
      </w:r>
      <w:r>
        <w:rPr>
          <w:rFonts w:hint="eastAsia" w:ascii="宋体" w:hAnsi="宋体" w:eastAsia="方正仿宋_GBK" w:cs="方正仿宋_GBK"/>
          <w:color w:val="auto"/>
          <w:sz w:val="32"/>
          <w:szCs w:val="32"/>
        </w:rPr>
        <w:t>等情况，加强对项目实施的全过程监督检查。省发展改革委、省能源局将</w:t>
      </w:r>
      <w:r>
        <w:rPr>
          <w:rFonts w:hint="eastAsia" w:ascii="宋体" w:hAnsi="宋体" w:eastAsia="方正仿宋_GBK" w:cs="方正仿宋_GBK"/>
          <w:color w:val="auto"/>
          <w:sz w:val="32"/>
          <w:szCs w:val="32"/>
          <w:lang w:eastAsia="zh-CN"/>
        </w:rPr>
        <w:t>持续</w:t>
      </w:r>
      <w:r>
        <w:rPr>
          <w:rFonts w:hint="eastAsia" w:ascii="宋体" w:hAnsi="宋体" w:eastAsia="方正仿宋_GBK" w:cs="方正仿宋_GBK"/>
          <w:color w:val="auto"/>
          <w:sz w:val="32"/>
          <w:szCs w:val="32"/>
        </w:rPr>
        <w:t>加强调度项目</w:t>
      </w:r>
      <w:r>
        <w:rPr>
          <w:rFonts w:hint="eastAsia" w:ascii="宋体" w:hAnsi="宋体" w:eastAsia="方正仿宋_GBK" w:cs="方正仿宋_GBK"/>
          <w:color w:val="auto"/>
          <w:sz w:val="32"/>
          <w:szCs w:val="32"/>
          <w:lang w:eastAsia="zh-CN"/>
        </w:rPr>
        <w:t>开工、投产等情况，针对推进缓慢的州（市）及项目业主采取通报、约谈等措施，违反相关文件要求的启动回收整改工作。</w:t>
      </w:r>
    </w:p>
    <w:p w14:paraId="5EE8A8C4">
      <w:pPr>
        <w:keepNext w:val="0"/>
        <w:keepLines w:val="0"/>
        <w:pageBreakBefore w:val="0"/>
        <w:widowControl w:val="0"/>
        <w:kinsoku/>
        <w:wordWrap/>
        <w:overflowPunct w:val="0"/>
        <w:topLinePunct w:val="0"/>
        <w:autoSpaceDE/>
        <w:autoSpaceDN/>
        <w:bidi w:val="0"/>
        <w:adjustRightInd/>
        <w:snapToGrid/>
        <w:spacing w:line="570" w:lineRule="exact"/>
        <w:ind w:firstLine="640" w:firstLineChars="200"/>
        <w:textAlignment w:val="auto"/>
        <w:rPr>
          <w:rFonts w:hint="eastAsia" w:ascii="宋体" w:hAnsi="宋体" w:eastAsia="方正仿宋_GBK" w:cs="方正仿宋_GBK"/>
          <w:color w:val="auto"/>
          <w:sz w:val="32"/>
          <w:szCs w:val="32"/>
        </w:rPr>
      </w:pPr>
      <w:r>
        <w:rPr>
          <w:rFonts w:hint="eastAsia" w:ascii="宋体" w:hAnsi="宋体" w:eastAsia="方正楷体_GBK" w:cs="方正楷体_GBK"/>
          <w:b w:val="0"/>
          <w:bCs w:val="0"/>
          <w:color w:val="auto"/>
          <w:sz w:val="32"/>
          <w:szCs w:val="32"/>
          <w:lang w:eastAsia="zh-CN"/>
        </w:rPr>
        <w:t>（四）</w:t>
      </w:r>
      <w:r>
        <w:rPr>
          <w:rFonts w:hint="eastAsia" w:ascii="宋体" w:hAnsi="宋体" w:eastAsia="方正楷体_GBK" w:cs="方正楷体_GBK"/>
          <w:b w:val="0"/>
          <w:bCs w:val="0"/>
          <w:color w:val="auto"/>
          <w:sz w:val="32"/>
          <w:szCs w:val="32"/>
        </w:rPr>
        <w:t>压实</w:t>
      </w:r>
      <w:r>
        <w:rPr>
          <w:rFonts w:hint="eastAsia" w:ascii="宋体" w:hAnsi="宋体" w:eastAsia="方正楷体_GBK" w:cs="方正楷体_GBK"/>
          <w:b w:val="0"/>
          <w:bCs w:val="0"/>
          <w:color w:val="auto"/>
          <w:sz w:val="32"/>
          <w:szCs w:val="32"/>
          <w:lang w:eastAsia="zh-CN"/>
        </w:rPr>
        <w:t>环保、</w:t>
      </w:r>
      <w:r>
        <w:rPr>
          <w:rFonts w:hint="eastAsia" w:ascii="宋体" w:hAnsi="宋体" w:eastAsia="方正楷体_GBK" w:cs="方正楷体_GBK"/>
          <w:b w:val="0"/>
          <w:bCs w:val="0"/>
          <w:color w:val="auto"/>
          <w:sz w:val="32"/>
          <w:szCs w:val="32"/>
        </w:rPr>
        <w:t>安全生产</w:t>
      </w:r>
      <w:r>
        <w:rPr>
          <w:rFonts w:hint="eastAsia" w:ascii="宋体" w:hAnsi="宋体" w:eastAsia="方正楷体_GBK" w:cs="方正楷体_GBK"/>
          <w:b w:val="0"/>
          <w:bCs w:val="0"/>
          <w:color w:val="auto"/>
          <w:sz w:val="32"/>
          <w:szCs w:val="32"/>
          <w:lang w:eastAsia="zh-CN"/>
        </w:rPr>
        <w:t>等</w:t>
      </w:r>
      <w:r>
        <w:rPr>
          <w:rFonts w:hint="eastAsia" w:ascii="宋体" w:hAnsi="宋体" w:eastAsia="方正楷体_GBK" w:cs="方正楷体_GBK"/>
          <w:b w:val="0"/>
          <w:bCs w:val="0"/>
          <w:color w:val="auto"/>
          <w:sz w:val="32"/>
          <w:szCs w:val="32"/>
        </w:rPr>
        <w:t>责任。</w:t>
      </w:r>
      <w:r>
        <w:rPr>
          <w:rFonts w:hint="eastAsia" w:ascii="宋体" w:hAnsi="宋体" w:eastAsia="方正仿宋_GBK" w:cs="方正仿宋_GBK"/>
          <w:color w:val="auto"/>
          <w:sz w:val="32"/>
          <w:szCs w:val="32"/>
          <w:lang w:eastAsia="zh-CN"/>
        </w:rPr>
        <w:t>严格落实《自然资源部办公厅 国家林业和草原局办公室 国家能源局综合司关于支持光伏发电产业发展规范用地管理有关工作的通知》《云南省自然资源厅</w:t>
      </w:r>
      <w:r>
        <w:rPr>
          <w:rFonts w:hint="eastAsia" w:ascii="宋体" w:hAnsi="宋体" w:eastAsia="方正仿宋_GBK" w:cs="方正仿宋_GBK"/>
          <w:color w:val="auto"/>
          <w:sz w:val="32"/>
          <w:szCs w:val="32"/>
          <w:lang w:val="en-US" w:eastAsia="zh-CN"/>
        </w:rPr>
        <w:t xml:space="preserve"> 云南省能源局关于进一步支持光伏扶贫和规范光伏发电产业用地的通知</w:t>
      </w:r>
      <w:r>
        <w:rPr>
          <w:rFonts w:hint="eastAsia" w:ascii="宋体" w:hAnsi="宋体" w:eastAsia="方正仿宋_GBK" w:cs="方正仿宋_GBK"/>
          <w:color w:val="auto"/>
          <w:sz w:val="32"/>
          <w:szCs w:val="32"/>
          <w:lang w:eastAsia="zh-CN"/>
        </w:rPr>
        <w:t>》等文件要求，光伏复合项目严格按照标准架设光伏组件，除桩基用地外严禁硬化地面，严禁抛荒、撂荒等情况。</w:t>
      </w:r>
      <w:r>
        <w:rPr>
          <w:rFonts w:hint="eastAsia" w:ascii="宋体" w:hAnsi="宋体" w:eastAsia="方正仿宋_GBK" w:cs="方正仿宋_GBK"/>
          <w:color w:val="auto"/>
          <w:sz w:val="32"/>
          <w:szCs w:val="32"/>
        </w:rPr>
        <w:t>严格落实《防止电力建设工程施工安全事故三十项重点要求》《防止电力生产事故的二十五项重点要求（2023版）》及《云南省能源局关于进一步加强新能源项目建设安全管理工作的通知》</w:t>
      </w:r>
      <w:r>
        <w:rPr>
          <w:rFonts w:hint="eastAsia" w:ascii="宋体" w:hAnsi="宋体" w:eastAsia="方正仿宋_GBK" w:cs="方正仿宋_GBK"/>
          <w:color w:val="auto"/>
          <w:sz w:val="32"/>
          <w:szCs w:val="32"/>
          <w:lang w:val="en-US" w:eastAsia="zh-CN"/>
        </w:rPr>
        <w:t>等要求，</w:t>
      </w:r>
      <w:r>
        <w:rPr>
          <w:rFonts w:hint="eastAsia" w:ascii="宋体" w:hAnsi="宋体" w:eastAsia="方正仿宋_GBK" w:cs="方正仿宋_GBK"/>
          <w:color w:val="auto"/>
          <w:sz w:val="32"/>
          <w:szCs w:val="32"/>
        </w:rPr>
        <w:t>建立健全安全生产责任体系，压紧压实安全生产责任，守住安全生产底线。</w:t>
      </w:r>
    </w:p>
    <w:p w14:paraId="7CFC08FF">
      <w:pPr>
        <w:keepNext w:val="0"/>
        <w:keepLines w:val="0"/>
        <w:pageBreakBefore w:val="0"/>
        <w:widowControl w:val="0"/>
        <w:numPr>
          <w:ilvl w:val="0"/>
          <w:numId w:val="0"/>
        </w:numPr>
        <w:pBdr>
          <w:bottom w:val="single" w:color="FFFFFF" w:sz="4" w:space="31"/>
        </w:pBdr>
        <w:kinsoku/>
        <w:wordWrap/>
        <w:overflowPunct w:val="0"/>
        <w:topLinePunct w:val="0"/>
        <w:autoSpaceDE/>
        <w:autoSpaceDN/>
        <w:bidi w:val="0"/>
        <w:adjustRightInd/>
        <w:snapToGrid/>
        <w:spacing w:beforeLines="0" w:afterLines="0" w:line="570" w:lineRule="exact"/>
        <w:ind w:firstLine="640" w:firstLineChars="200"/>
        <w:textAlignment w:val="auto"/>
        <w:outlineLvl w:val="9"/>
        <w:rPr>
          <w:rFonts w:hint="eastAsia" w:ascii="宋体" w:hAnsi="宋体" w:eastAsia="方正仿宋_GBK" w:cs="方正仿宋_GBK"/>
          <w:color w:val="auto"/>
          <w:sz w:val="32"/>
          <w:szCs w:val="32"/>
          <w:lang w:val="en-US" w:eastAsia="zh-CN"/>
        </w:rPr>
      </w:pPr>
      <w:r>
        <w:rPr>
          <w:rFonts w:hint="eastAsia" w:ascii="宋体" w:hAnsi="宋体" w:eastAsia="方正楷体_GBK" w:cs="方正楷体_GBK"/>
          <w:color w:val="auto"/>
          <w:sz w:val="32"/>
          <w:szCs w:val="32"/>
          <w:lang w:val="en-US" w:eastAsia="zh-CN"/>
        </w:rPr>
        <w:t>（五）体现产业政策导向。</w:t>
      </w:r>
      <w:r>
        <w:rPr>
          <w:rFonts w:hint="eastAsia" w:ascii="宋体" w:hAnsi="宋体" w:eastAsia="方正仿宋_GBK" w:cs="方正仿宋_GBK"/>
          <w:color w:val="auto"/>
          <w:sz w:val="32"/>
          <w:szCs w:val="32"/>
          <w:lang w:val="en-US" w:eastAsia="zh-CN"/>
        </w:rPr>
        <w:t>按照省委、省政府工作要求，</w:t>
      </w:r>
      <w:r>
        <w:rPr>
          <w:rFonts w:hint="eastAsia" w:ascii="宋体" w:hAnsi="宋体" w:eastAsia="方正仿宋_GBK" w:cs="方正仿宋_GBK"/>
          <w:b w:val="0"/>
          <w:bCs w:val="0"/>
          <w:color w:val="auto"/>
          <w:sz w:val="32"/>
          <w:szCs w:val="32"/>
          <w:lang w:val="en-US" w:eastAsia="zh-CN"/>
        </w:rPr>
        <w:t>一是</w:t>
      </w:r>
      <w:r>
        <w:rPr>
          <w:rFonts w:hint="eastAsia" w:ascii="宋体" w:hAnsi="宋体" w:eastAsia="方正仿宋_GBK" w:cs="方正仿宋_GBK"/>
          <w:color w:val="auto"/>
          <w:sz w:val="32"/>
          <w:szCs w:val="32"/>
          <w:lang w:val="en-US" w:eastAsia="zh-CN"/>
        </w:rPr>
        <w:t>体现</w:t>
      </w:r>
      <w:r>
        <w:rPr>
          <w:rFonts w:hint="eastAsia" w:ascii="宋体" w:hAnsi="宋体" w:eastAsia="方正仿宋_GBK" w:cs="方正仿宋_GBK"/>
          <w:b w:val="0"/>
          <w:bCs w:val="0"/>
          <w:sz w:val="32"/>
          <w:szCs w:val="32"/>
          <w:highlight w:val="none"/>
          <w:lang w:val="en-US" w:eastAsia="zh-CN"/>
        </w:rPr>
        <w:t>就近就地消纳、与产业集成融合发展原则，鼓励采用绿电直连模式。二</w:t>
      </w:r>
      <w:r>
        <w:rPr>
          <w:rFonts w:hint="eastAsia" w:ascii="宋体" w:hAnsi="宋体" w:eastAsia="方正仿宋_GBK" w:cs="方正仿宋_GBK"/>
          <w:b w:val="0"/>
          <w:bCs w:val="0"/>
          <w:color w:val="auto"/>
          <w:sz w:val="32"/>
          <w:szCs w:val="32"/>
          <w:lang w:val="en-US" w:eastAsia="zh-CN"/>
        </w:rPr>
        <w:t>是</w:t>
      </w:r>
      <w:r>
        <w:rPr>
          <w:rFonts w:hint="eastAsia" w:ascii="宋体" w:hAnsi="宋体" w:eastAsia="方正仿宋_GBK" w:cs="方正仿宋_GBK"/>
          <w:color w:val="auto"/>
          <w:sz w:val="32"/>
          <w:szCs w:val="32"/>
          <w:lang w:val="en-US" w:eastAsia="zh-CN"/>
        </w:rPr>
        <w:t>支持火电与新能源联营发展。对新建火电项目单位在全省范围内支持新能源开发建设，已按规定足量配置完成的，不再参与火电联营的新能源项目竞配。</w:t>
      </w:r>
    </w:p>
    <w:p w14:paraId="6770F8DE">
      <w:pPr>
        <w:keepNext w:val="0"/>
        <w:keepLines w:val="0"/>
        <w:pageBreakBefore w:val="0"/>
        <w:widowControl w:val="0"/>
        <w:numPr>
          <w:ilvl w:val="0"/>
          <w:numId w:val="0"/>
        </w:numPr>
        <w:pBdr>
          <w:bottom w:val="single" w:color="FFFFFF" w:sz="4" w:space="31"/>
        </w:pBdr>
        <w:kinsoku/>
        <w:wordWrap/>
        <w:overflowPunct w:val="0"/>
        <w:topLinePunct w:val="0"/>
        <w:autoSpaceDE/>
        <w:autoSpaceDN/>
        <w:bidi w:val="0"/>
        <w:adjustRightInd/>
        <w:snapToGrid/>
        <w:spacing w:beforeLines="0" w:afterLines="0" w:line="570" w:lineRule="exact"/>
        <w:ind w:firstLine="640" w:firstLineChars="200"/>
        <w:textAlignment w:val="auto"/>
        <w:outlineLvl w:val="9"/>
        <w:rPr>
          <w:rFonts w:hint="eastAsia" w:ascii="宋体" w:hAnsi="宋体" w:eastAsia="方正仿宋_GBK" w:cs="方正仿宋_GBK"/>
          <w:color w:val="auto"/>
          <w:sz w:val="32"/>
          <w:szCs w:val="32"/>
          <w:lang w:val="en-US" w:eastAsia="zh-CN"/>
        </w:rPr>
      </w:pPr>
      <w:r>
        <w:rPr>
          <w:rFonts w:hint="eastAsia" w:ascii="宋体" w:hAnsi="宋体" w:eastAsia="方正楷体_GBK" w:cs="方正楷体_GBK"/>
          <w:color w:val="auto"/>
          <w:sz w:val="32"/>
          <w:szCs w:val="32"/>
          <w:lang w:val="en-US" w:eastAsia="zh-CN"/>
        </w:rPr>
        <w:t>（六）持续营造良好营商环境。</w:t>
      </w:r>
      <w:r>
        <w:rPr>
          <w:rFonts w:hint="eastAsia" w:ascii="宋体" w:hAnsi="宋体" w:eastAsia="方正仿宋_GBK" w:cs="方正仿宋_GBK"/>
          <w:sz w:val="32"/>
          <w:szCs w:val="32"/>
          <w:highlight w:val="none"/>
          <w:lang w:val="en-US" w:eastAsia="zh-CN"/>
        </w:rPr>
        <w:t>贯彻落实全国统一大市场要求，破除地方保护和区域壁垒，清理新能源领域妨碍统一市场和公平竞争的政策措施。在制定光伏项目开发方案和组织新能源项目市场化配置资源过程中，不得将产业配套等违反公平竞争的事项作为项目开发建设的前置条件。</w:t>
      </w:r>
    </w:p>
    <w:p w14:paraId="454ECC05">
      <w:pPr>
        <w:keepNext w:val="0"/>
        <w:keepLines w:val="0"/>
        <w:pageBreakBefore w:val="0"/>
        <w:widowControl w:val="0"/>
        <w:numPr>
          <w:ilvl w:val="0"/>
          <w:numId w:val="0"/>
        </w:numPr>
        <w:pBdr>
          <w:bottom w:val="single" w:color="FFFFFF" w:sz="4" w:space="31"/>
        </w:pBdr>
        <w:kinsoku/>
        <w:wordWrap/>
        <w:overflowPunct w:val="0"/>
        <w:topLinePunct w:val="0"/>
        <w:autoSpaceDE/>
        <w:autoSpaceDN/>
        <w:bidi w:val="0"/>
        <w:adjustRightInd/>
        <w:snapToGrid/>
        <w:spacing w:beforeLines="0" w:afterLines="0" w:line="570" w:lineRule="exact"/>
        <w:ind w:firstLine="640" w:firstLineChars="200"/>
        <w:textAlignment w:val="auto"/>
        <w:outlineLvl w:val="9"/>
        <w:rPr>
          <w:rFonts w:hint="eastAsia" w:ascii="宋体" w:hAnsi="宋体" w:eastAsia="方正仿宋_GBK" w:cs="方正仿宋_GBK"/>
          <w:color w:val="auto"/>
          <w:sz w:val="32"/>
          <w:szCs w:val="32"/>
        </w:rPr>
      </w:pPr>
      <w:r>
        <w:rPr>
          <w:rFonts w:hint="eastAsia" w:ascii="宋体" w:hAnsi="宋体" w:eastAsia="方正楷体_GBK" w:cs="方正楷体_GBK"/>
          <w:b w:val="0"/>
          <w:bCs w:val="0"/>
          <w:color w:val="auto"/>
          <w:sz w:val="32"/>
          <w:szCs w:val="32"/>
        </w:rPr>
        <w:t>（</w:t>
      </w:r>
      <w:r>
        <w:rPr>
          <w:rFonts w:hint="eastAsia" w:ascii="宋体" w:hAnsi="宋体" w:eastAsia="方正楷体_GBK" w:cs="方正楷体_GBK"/>
          <w:b w:val="0"/>
          <w:bCs w:val="0"/>
          <w:color w:val="auto"/>
          <w:sz w:val="32"/>
          <w:szCs w:val="32"/>
          <w:lang w:eastAsia="zh-CN"/>
        </w:rPr>
        <w:t>七</w:t>
      </w:r>
      <w:r>
        <w:rPr>
          <w:rFonts w:hint="eastAsia" w:ascii="宋体" w:hAnsi="宋体" w:eastAsia="方正楷体_GBK" w:cs="方正楷体_GBK"/>
          <w:b w:val="0"/>
          <w:bCs w:val="0"/>
          <w:color w:val="auto"/>
          <w:sz w:val="32"/>
          <w:szCs w:val="32"/>
        </w:rPr>
        <w:t>）严密防范廉政风险。</w:t>
      </w:r>
      <w:r>
        <w:rPr>
          <w:rFonts w:hint="eastAsia" w:ascii="宋体" w:hAnsi="宋体" w:eastAsia="方正仿宋_GBK" w:cs="方正仿宋_GBK"/>
          <w:b w:val="0"/>
          <w:bCs w:val="0"/>
          <w:sz w:val="32"/>
          <w:szCs w:val="32"/>
          <w:highlight w:val="none"/>
          <w:lang w:eastAsia="zh-CN"/>
        </w:rPr>
        <w:t>有关</w:t>
      </w:r>
      <w:r>
        <w:rPr>
          <w:rFonts w:hint="eastAsia" w:ascii="宋体" w:hAnsi="宋体" w:eastAsia="方正仿宋_GBK" w:cs="方正仿宋_GBK"/>
          <w:sz w:val="32"/>
          <w:szCs w:val="32"/>
          <w:highlight w:val="none"/>
        </w:rPr>
        <w:t>州（市）要切实履行属地责任，</w:t>
      </w:r>
      <w:r>
        <w:rPr>
          <w:rFonts w:hint="eastAsia" w:ascii="宋体" w:hAnsi="宋体" w:eastAsia="方正仿宋_GBK" w:cs="方正仿宋_GBK"/>
          <w:sz w:val="32"/>
          <w:szCs w:val="32"/>
          <w:highlight w:val="none"/>
          <w:lang w:eastAsia="zh-CN"/>
        </w:rPr>
        <w:t>督促项目业主共同</w:t>
      </w:r>
      <w:r>
        <w:rPr>
          <w:rFonts w:hint="eastAsia" w:ascii="宋体" w:hAnsi="宋体" w:eastAsia="方正仿宋_GBK" w:cs="方正仿宋_GBK"/>
          <w:sz w:val="32"/>
          <w:szCs w:val="32"/>
          <w:highlight w:val="none"/>
        </w:rPr>
        <w:t>防范</w:t>
      </w:r>
      <w:r>
        <w:rPr>
          <w:rFonts w:hint="eastAsia" w:ascii="宋体" w:hAnsi="宋体" w:eastAsia="方正仿宋_GBK" w:cs="方正仿宋_GBK"/>
          <w:sz w:val="32"/>
          <w:szCs w:val="32"/>
          <w:highlight w:val="none"/>
          <w:lang w:eastAsia="zh-CN"/>
        </w:rPr>
        <w:t>项目</w:t>
      </w:r>
      <w:r>
        <w:rPr>
          <w:rFonts w:hint="eastAsia" w:ascii="宋体" w:hAnsi="宋体" w:eastAsia="方正仿宋_GBK" w:cs="方正仿宋_GBK"/>
          <w:sz w:val="32"/>
          <w:szCs w:val="32"/>
          <w:highlight w:val="none"/>
        </w:rPr>
        <w:t>资源配置、项目审批、开发建设等过程中的廉政风险，严格落实工程项目建设公开公示相关制度，严禁以非正当手段干预和插手工程项目建设，依法依规推进项目开发建设。</w:t>
      </w:r>
    </w:p>
    <w:p w14:paraId="0D20113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altName w:val="方正舒体"/>
    <w:panose1 w:val="02000000000000000000"/>
    <w:charset w:val="86"/>
    <w:family w:val="script"/>
    <w:pitch w:val="default"/>
    <w:sig w:usb0="00000000" w:usb1="00000000" w:usb2="00000012" w:usb3="00000000" w:csb0="00040001" w:csb1="00000000"/>
  </w:font>
  <w:font w:name="方正小标宋_GBK">
    <w:altName w:val="微软雅黑"/>
    <w:panose1 w:val="02000000000000000000"/>
    <w:charset w:val="86"/>
    <w:family w:val="script"/>
    <w:pitch w:val="default"/>
    <w:sig w:usb0="00000000" w:usb1="00000000" w:usb2="00000000" w:usb3="00000000" w:csb0="00040000" w:csb1="00000000"/>
  </w:font>
  <w:font w:name="方正仿宋_GBK">
    <w:altName w:val="微软雅黑"/>
    <w:panose1 w:val="02000000000000000000"/>
    <w:charset w:val="86"/>
    <w:family w:val="script"/>
    <w:pitch w:val="default"/>
    <w:sig w:usb0="00000000" w:usb1="00000000" w:usb2="00000000" w:usb3="00000000" w:csb0="00040000" w:csb1="00000000"/>
  </w:font>
  <w:font w:name="方正黑体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6128BF"/>
    <w:rsid w:val="386128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spacing w:line="660" w:lineRule="exact"/>
      <w:jc w:val="center"/>
      <w:outlineLvl w:val="0"/>
    </w:pPr>
    <w:rPr>
      <w:rFonts w:ascii="Times New Roman" w:hAnsi="Times New Roman" w:eastAsia="方正小标宋简体"/>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2025-12-24T04:01:00Z</dcterms:created>
  <dc:creator>企业用户_422078418</dc:creator>
  <cp:lastModifiedBy>企业用户_422078418</cp:lastModifiedBy>
  <dcterms:modified xsi:type="dcterms:W3CDTF">2025-12-24T04:02:11Z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F8591C5969034D0DA11CE0221E2DAF99_11</vt:lpwstr>
  </property>
  <property fmtid="{D5CDD505-2E9C-101B-9397-08002B2CF9AE}" pid="4" name="KSOTemplateDocerSaveRecord">
    <vt:lpwstr>eyJoZGlkIjoiN2YzNjBkOTgyNWQ1YTMxYzM3MzMwNWFiODNmOWIzYWMiLCJ1c2VySWQiOiIxNjQ3MjE5MTc3In0=</vt:lpwstr>
  </property>
</Properties>
</file>